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8B4B" w14:textId="77777777" w:rsidR="00B17032" w:rsidRPr="00B17032" w:rsidRDefault="00B17032" w:rsidP="00B17032">
      <w:pPr>
        <w:spacing w:after="0" w:line="240" w:lineRule="auto"/>
        <w:outlineLvl w:val="0"/>
        <w:rPr>
          <w:rFonts w:ascii="Noto Serif" w:eastAsia="Times New Roman" w:hAnsi="Noto Serif" w:cs="Noto Serif"/>
          <w:color w:val="262626"/>
          <w:kern w:val="36"/>
          <w:sz w:val="48"/>
          <w:szCs w:val="48"/>
          <w:lang w:eastAsia="en-GB"/>
          <w14:ligatures w14:val="none"/>
        </w:rPr>
      </w:pPr>
      <w:r w:rsidRPr="00B17032">
        <w:rPr>
          <w:rFonts w:ascii="Noto Serif" w:eastAsia="Times New Roman" w:hAnsi="Noto Serif" w:cs="Noto Serif"/>
          <w:color w:val="262626"/>
          <w:kern w:val="36"/>
          <w:sz w:val="48"/>
          <w:szCs w:val="48"/>
          <w:lang w:eastAsia="en-GB"/>
          <w14:ligatures w14:val="none"/>
        </w:rPr>
        <w:t>Communicative language teaching (CLT): tensions and solutions</w:t>
      </w:r>
    </w:p>
    <w:p w14:paraId="31616004" w14:textId="77777777" w:rsidR="00B17032" w:rsidRDefault="00B17032" w:rsidP="00B17032"/>
    <w:p w14:paraId="35A689D6" w14:textId="77777777" w:rsidR="00B17032" w:rsidRDefault="00B17032" w:rsidP="00B17032"/>
    <w:p w14:paraId="1F42FE75" w14:textId="7FAD47C0" w:rsidR="00B17032" w:rsidRPr="00B17032" w:rsidRDefault="00B17032" w:rsidP="00B17032">
      <w:r w:rsidRPr="00B17032">
        <w:t>As part of the discussion around native-speakerism, it is important to consider the wider implications of having English taught only by native speakers. Some scholars argue that it's not only the language that native-speaker teachers bring with them to the classroom, but also related methodology, culture, values, and beliefs, which will generally be Western values and beliefs. This is not devoid of political agenda, and it might lead to the creation of a divide between 'us' (native speakers) and 'them' (non-native speaker students and teachers), potentially introducing inequality and negative differentiation and even value judgement (Thorp, 1991). In today's globalised world, such divides and inequalities are not desirable.</w:t>
      </w:r>
    </w:p>
    <w:p w14:paraId="68287E75" w14:textId="77777777" w:rsidR="00B17032" w:rsidRPr="00B17032" w:rsidRDefault="00B17032" w:rsidP="00B17032">
      <w:r w:rsidRPr="00B17032">
        <w:t>Bax (2003) suggests that CLT is the dominant methodology exported to countries around the world and imposed in classrooms, often with disregard to the existing context. He illustrates his point with the following vignettes. See the below the images in Figure 2.1 for more information:</w:t>
      </w:r>
    </w:p>
    <w:p w14:paraId="748831EE" w14:textId="77777777" w:rsidR="00B17032" w:rsidRPr="00B17032" w:rsidRDefault="00B17032" w:rsidP="00B17032">
      <w:r w:rsidRPr="00B17032">
        <w:t>The previous examples illustrate a frequent assumption that CLT is a superior and comprehensive language teaching solution, in opposition to other (ineffective) methods. Such a presumption is ignorant of local context and of the views and needs of the prospective students. As Thorp (1991, p. 117) puts it, 'it is far too easy to think that our own ideas as to what constitutes 'good' learning are universal, and forget their cultural specificity'. This is often referred to as 'native-speakerism', a term coined by Adrian Holliday (2006).</w:t>
      </w:r>
    </w:p>
    <w:p w14:paraId="27F07917" w14:textId="77777777" w:rsidR="00B17032" w:rsidRPr="00B17032" w:rsidRDefault="00B17032" w:rsidP="00B17032">
      <w:r w:rsidRPr="00B17032">
        <w:t>Here, CLT comes in for a lot of criticism, as it seems to assume Western ideas of good learning and the associated learning behaviours and attitudes. In light of this, expectations of communicativeness, creativity, and autonomy might be culturally inappropriate. However, this does not mean they are, in fact, inappropriate. Rather, it is the associated superiority that is problematic.</w:t>
      </w:r>
    </w:p>
    <w:p w14:paraId="4F6223F9" w14:textId="77777777" w:rsidR="00B17032" w:rsidRPr="00B17032" w:rsidRDefault="00B17032" w:rsidP="00B17032">
      <w:r w:rsidRPr="00B17032">
        <w:rPr>
          <w:i/>
          <w:iCs/>
        </w:rPr>
        <w:t>"We need to see English-language teaching as located in the domain of popular culture as much as in the domain of applied linguistics". Pennycook (1998, p. 162, cited in Harmer, 2015)</w:t>
      </w:r>
    </w:p>
    <w:p w14:paraId="030ADF47" w14:textId="77777777" w:rsidR="00B17032" w:rsidRPr="00B17032" w:rsidRDefault="00B17032" w:rsidP="00B17032">
      <w:r w:rsidRPr="00B17032">
        <w:t>Bax (2003) suggests a context-driven approach – rather than methodology-driven approaches (e.g., CLT) or language-driven approaches (e.g., the lexical approach). Factors that need to be taken into account when thinking about context include the four types of culture and their influences:</w:t>
      </w:r>
    </w:p>
    <w:p w14:paraId="532455C6" w14:textId="77777777" w:rsidR="00B17032" w:rsidRPr="00B17032" w:rsidRDefault="00B17032" w:rsidP="00B17032">
      <w:pPr>
        <w:numPr>
          <w:ilvl w:val="0"/>
          <w:numId w:val="15"/>
        </w:numPr>
      </w:pPr>
      <w:r w:rsidRPr="00B17032">
        <w:lastRenderedPageBreak/>
        <w:t>the individual – learning styles, learning strategies, motivation</w:t>
      </w:r>
    </w:p>
    <w:p w14:paraId="33FB6280" w14:textId="77777777" w:rsidR="00B17032" w:rsidRPr="00B17032" w:rsidRDefault="00B17032" w:rsidP="00B17032">
      <w:pPr>
        <w:numPr>
          <w:ilvl w:val="0"/>
          <w:numId w:val="15"/>
        </w:numPr>
      </w:pPr>
      <w:r w:rsidRPr="00B17032">
        <w:t>the classroom – group dynamics, classroom environment</w:t>
      </w:r>
    </w:p>
    <w:p w14:paraId="4DFEA39D" w14:textId="77777777" w:rsidR="00B17032" w:rsidRPr="00B17032" w:rsidRDefault="00B17032" w:rsidP="00B17032">
      <w:pPr>
        <w:numPr>
          <w:ilvl w:val="0"/>
          <w:numId w:val="15"/>
        </w:numPr>
      </w:pPr>
      <w:r w:rsidRPr="00B17032">
        <w:t>the local area – parents' reactions, status of learners and teachers in the local community</w:t>
      </w:r>
    </w:p>
    <w:p w14:paraId="3CD79314" w14:textId="77777777" w:rsidR="00B17032" w:rsidRPr="00B17032" w:rsidRDefault="00B17032" w:rsidP="00B17032">
      <w:pPr>
        <w:numPr>
          <w:ilvl w:val="0"/>
          <w:numId w:val="15"/>
        </w:numPr>
      </w:pPr>
      <w:r w:rsidRPr="00B17032">
        <w:t>the nation – politics, religion, society.</w:t>
      </w:r>
    </w:p>
    <w:p w14:paraId="35324653" w14:textId="77777777" w:rsidR="00B17032" w:rsidRPr="00B17032" w:rsidRDefault="00B17032" w:rsidP="00B17032">
      <w:r w:rsidRPr="00B17032">
        <w:t>So, it is crucial to consider the context, and this then guides the teacher in deciding which methods and procedures are appropriate for the needs and wants of the students in question. However, Harmer (2015) warns the practitioner against becoming a mere 'client satisfier'. He suggests that context-sensitive teachers should think of ways of marrying their methodological beliefs and their students' expectations through negotiations between the two, as in this example from Thorp (1991, p. 115):</w:t>
      </w:r>
    </w:p>
    <w:p w14:paraId="64C0B2BF" w14:textId="77777777" w:rsidR="00B17032" w:rsidRPr="00B17032" w:rsidRDefault="00B17032" w:rsidP="00B17032">
      <w:r w:rsidRPr="00B17032">
        <w:rPr>
          <w:i/>
          <w:iCs/>
        </w:rPr>
        <w:t>"In listening, where they needed the skill of listening for gist and not every word, and where they wanted to listen time and time again, we gradually weaned them away from this by initially allowing them to listen as often as they liked; but in return–and this was their part of the bargain–they were to concentrate on the gist and answer guided questions. These guided questions moved them away from a sentence-by-sentence analysis towards inferential interpretation of the text. Then, we gradually reduced the number of times they were allowed to listen. This seemed to work: it was a system with which they were happy, and which enabled them to see real improvements in their listening skills".</w:t>
      </w:r>
    </w:p>
    <w:p w14:paraId="4F9625FF" w14:textId="77777777" w:rsidR="00B17032" w:rsidRPr="00B17032" w:rsidRDefault="00B17032" w:rsidP="00B17032">
      <w:r w:rsidRPr="00B17032">
        <w:t>Do you consider this to be an example of 'marrying … methodological beliefs' or of manipulation by the teacher? Was the end point different in any way because of the 'expectations of the students'? Does that really matter anyway, so long as the learners learned effectively?</w:t>
      </w:r>
    </w:p>
    <w:p w14:paraId="4E3C94F5" w14:textId="77777777" w:rsidR="00B17032" w:rsidRPr="00B17032" w:rsidRDefault="00B17032" w:rsidP="00B17032">
      <w:hyperlink r:id="rId5" w:history="1">
        <w:r w:rsidRPr="00B17032">
          <w:rPr>
            <w:rStyle w:val="Hyperlink"/>
          </w:rPr>
          <w:t>Further reading.png</w:t>
        </w:r>
      </w:hyperlink>
      <w:r w:rsidRPr="00B17032">
        <w:t>If you would like to find out more about the debate regarding the impact of native and non-native English-speaking English teachers, the following resources will be useful:</w:t>
      </w:r>
    </w:p>
    <w:p w14:paraId="052B555F" w14:textId="77777777" w:rsidR="00B17032" w:rsidRPr="00B17032" w:rsidRDefault="00B17032" w:rsidP="00B17032">
      <w:pPr>
        <w:numPr>
          <w:ilvl w:val="0"/>
          <w:numId w:val="16"/>
        </w:numPr>
      </w:pPr>
      <w:r w:rsidRPr="00B17032">
        <w:t>Visit the </w:t>
      </w:r>
      <w:hyperlink r:id="rId6" w:history="1">
        <w:r w:rsidRPr="00B17032">
          <w:rPr>
            <w:rStyle w:val="Hyperlink"/>
          </w:rPr>
          <w:t>social issues and diversity</w:t>
        </w:r>
      </w:hyperlink>
      <w:r w:rsidRPr="00B17032">
        <w:t> page on the TESOL website. Navigate down the page until you reach the following article: 'Position Statement Against Discrimination of Nonnative Speakers of English in the Field of TESOL' (TESOL, 2006). This is a page-long position statement on discrimination against non-native speakers of English in the field of TESOL.</w:t>
      </w:r>
    </w:p>
    <w:p w14:paraId="6A76D33C" w14:textId="77777777" w:rsidR="00B17032" w:rsidRPr="00B17032" w:rsidRDefault="00B17032" w:rsidP="00B17032">
      <w:pPr>
        <w:numPr>
          <w:ilvl w:val="0"/>
          <w:numId w:val="16"/>
        </w:numPr>
      </w:pPr>
      <w:r w:rsidRPr="00B17032">
        <w:t>There is also a longer paper by Ali Fuad Selvi on '</w:t>
      </w:r>
      <w:hyperlink r:id="rId7" w:history="1">
        <w:r w:rsidRPr="00B17032">
          <w:rPr>
            <w:rStyle w:val="Hyperlink"/>
          </w:rPr>
          <w:t>Myths and Misconceptions About Nonnative English Speakers in the TESOL (NNEST) Movement</w:t>
        </w:r>
      </w:hyperlink>
      <w:r w:rsidRPr="00B17032">
        <w:t>', available from the online reading list for this module.</w:t>
      </w:r>
    </w:p>
    <w:p w14:paraId="6B9287B3" w14:textId="77777777" w:rsidR="00B17032" w:rsidRPr="00B17032" w:rsidRDefault="00B17032" w:rsidP="00B17032">
      <w:r w:rsidRPr="00B17032">
        <w:rPr>
          <w:b/>
          <w:bCs/>
        </w:rPr>
        <w:lastRenderedPageBreak/>
        <w:t>Other approaches: post-method and exploratory approach</w:t>
      </w:r>
    </w:p>
    <w:p w14:paraId="6F6CD53C" w14:textId="77777777" w:rsidR="00B17032" w:rsidRPr="00B17032" w:rsidRDefault="00B17032" w:rsidP="00B17032">
      <w:r w:rsidRPr="00B17032">
        <w:br/>
      </w:r>
    </w:p>
    <w:p w14:paraId="3D3D5EB3" w14:textId="77777777" w:rsidR="00B17032" w:rsidRPr="00B17032" w:rsidRDefault="00B17032" w:rsidP="00B17032">
      <w:r w:rsidRPr="00B17032">
        <w:t>Another way of approaching the issue is to move from approaches to procedures and techniques. In this so-called '</w:t>
      </w:r>
      <w:hyperlink r:id="rId8" w:history="1">
        <w:r w:rsidRPr="00B17032">
          <w:rPr>
            <w:rStyle w:val="Hyperlink"/>
          </w:rPr>
          <w:t>post-method</w:t>
        </w:r>
      </w:hyperlink>
      <w:r w:rsidRPr="00B17032">
        <w:t>' era, 'teachers could devise for themselves a systematic, coherent, and relevant alternative to method, one informed by principled pragmatism' (Kumaravadivelu, 1994: 27). The post-method condition, according to Kumaravadivelu (1994), has three important characteristics. First, 'it signifies the search for an alternative to method, rather than an alternative method' (1994:29). Teachers may have been constrained in the past by being overly focused on method, which could have detracted from the 'learning'. Second, the post-method condition signifies teacher autonomy, recognising the wealth of experience that teachers have and their ability to develop a reflective and evaluative teaching practice, thus empowering teachers to theorise based upon this knowledge and experience. Finally, the post-method condition includes the idea of Principled Pragmatism, which is outlined in the section below.</w:t>
      </w:r>
    </w:p>
    <w:p w14:paraId="7666D543" w14:textId="77777777" w:rsidR="00B17032" w:rsidRPr="00B17032" w:rsidRDefault="00B17032" w:rsidP="00B17032">
      <w:r w:rsidRPr="00B17032">
        <w:rPr>
          <w:b/>
          <w:bCs/>
        </w:rPr>
        <w:t>Macro strategies</w:t>
      </w:r>
    </w:p>
    <w:p w14:paraId="62105C2E" w14:textId="77777777" w:rsidR="00B17032" w:rsidRPr="00B17032" w:rsidRDefault="00B17032" w:rsidP="00B17032">
      <w:r w:rsidRPr="00B17032">
        <w:t>According to Kumaravadivelu (1994, p.31), Principled Pragmatism is based on 'the pragmatics of pedagogy' and so not constrained by any method. It investigates how an informed and critically thinking teacher can shape and manage the classroom. The suggested framework consists of 10 macro strategies:</w:t>
      </w:r>
    </w:p>
    <w:p w14:paraId="28AD3FAE" w14:textId="77777777" w:rsidR="00B17032" w:rsidRPr="00B17032" w:rsidRDefault="00B17032" w:rsidP="00B17032">
      <w:pPr>
        <w:numPr>
          <w:ilvl w:val="0"/>
          <w:numId w:val="17"/>
        </w:numPr>
      </w:pPr>
      <w:r w:rsidRPr="00B17032">
        <w:t>maximising learning opportunities</w:t>
      </w:r>
    </w:p>
    <w:p w14:paraId="1970D06D" w14:textId="77777777" w:rsidR="00B17032" w:rsidRPr="00B17032" w:rsidRDefault="00B17032" w:rsidP="00B17032">
      <w:pPr>
        <w:numPr>
          <w:ilvl w:val="0"/>
          <w:numId w:val="17"/>
        </w:numPr>
      </w:pPr>
      <w:r w:rsidRPr="00B17032">
        <w:t>facilitating negotiated interaction</w:t>
      </w:r>
    </w:p>
    <w:p w14:paraId="17F8B3C0" w14:textId="77777777" w:rsidR="00B17032" w:rsidRPr="00B17032" w:rsidRDefault="00B17032" w:rsidP="00B17032">
      <w:pPr>
        <w:numPr>
          <w:ilvl w:val="0"/>
          <w:numId w:val="17"/>
        </w:numPr>
      </w:pPr>
      <w:r w:rsidRPr="00B17032">
        <w:t>minimising perceptual mismatches</w:t>
      </w:r>
    </w:p>
    <w:p w14:paraId="3B149189" w14:textId="77777777" w:rsidR="00B17032" w:rsidRPr="00B17032" w:rsidRDefault="00B17032" w:rsidP="00B17032">
      <w:pPr>
        <w:numPr>
          <w:ilvl w:val="0"/>
          <w:numId w:val="17"/>
        </w:numPr>
      </w:pPr>
      <w:r w:rsidRPr="00B17032">
        <w:t>activating intuitive heuristics</w:t>
      </w:r>
    </w:p>
    <w:p w14:paraId="1F2004DF" w14:textId="77777777" w:rsidR="00B17032" w:rsidRPr="00B17032" w:rsidRDefault="00B17032" w:rsidP="00B17032">
      <w:pPr>
        <w:numPr>
          <w:ilvl w:val="0"/>
          <w:numId w:val="17"/>
        </w:numPr>
      </w:pPr>
      <w:r w:rsidRPr="00B17032">
        <w:t>fostering language awareness</w:t>
      </w:r>
    </w:p>
    <w:p w14:paraId="2A679928" w14:textId="77777777" w:rsidR="00B17032" w:rsidRPr="00B17032" w:rsidRDefault="00B17032" w:rsidP="00B17032">
      <w:pPr>
        <w:numPr>
          <w:ilvl w:val="0"/>
          <w:numId w:val="17"/>
        </w:numPr>
      </w:pPr>
      <w:r w:rsidRPr="00B17032">
        <w:t>contextualising linguistic input</w:t>
      </w:r>
    </w:p>
    <w:p w14:paraId="636B6B92" w14:textId="77777777" w:rsidR="00B17032" w:rsidRPr="00B17032" w:rsidRDefault="00B17032" w:rsidP="00B17032">
      <w:pPr>
        <w:numPr>
          <w:ilvl w:val="0"/>
          <w:numId w:val="17"/>
        </w:numPr>
      </w:pPr>
      <w:r w:rsidRPr="00B17032">
        <w:t>integrating language skills</w:t>
      </w:r>
    </w:p>
    <w:p w14:paraId="2B0AAA4A" w14:textId="77777777" w:rsidR="00B17032" w:rsidRPr="00B17032" w:rsidRDefault="00B17032" w:rsidP="00B17032">
      <w:pPr>
        <w:numPr>
          <w:ilvl w:val="0"/>
          <w:numId w:val="17"/>
        </w:numPr>
      </w:pPr>
      <w:r w:rsidRPr="00B17032">
        <w:t>promoting learner autonomy</w:t>
      </w:r>
    </w:p>
    <w:p w14:paraId="5333A216" w14:textId="77777777" w:rsidR="00B17032" w:rsidRPr="00B17032" w:rsidRDefault="00B17032" w:rsidP="00B17032">
      <w:pPr>
        <w:numPr>
          <w:ilvl w:val="0"/>
          <w:numId w:val="17"/>
        </w:numPr>
      </w:pPr>
      <w:r w:rsidRPr="00B17032">
        <w:t>raising cultural consciousness</w:t>
      </w:r>
    </w:p>
    <w:p w14:paraId="7EDE1196" w14:textId="77777777" w:rsidR="00B17032" w:rsidRPr="00B17032" w:rsidRDefault="00B17032" w:rsidP="00B17032">
      <w:pPr>
        <w:numPr>
          <w:ilvl w:val="0"/>
          <w:numId w:val="17"/>
        </w:numPr>
      </w:pPr>
      <w:r w:rsidRPr="00B17032">
        <w:t>ensuring social relevance</w:t>
      </w:r>
    </w:p>
    <w:p w14:paraId="2855A167" w14:textId="77777777" w:rsidR="00B17032" w:rsidRPr="00B17032" w:rsidRDefault="00B17032" w:rsidP="00B17032">
      <w:r w:rsidRPr="00B17032">
        <w:lastRenderedPageBreak/>
        <w:t>This is different from mere </w:t>
      </w:r>
      <w:hyperlink r:id="rId9" w:history="1">
        <w:r w:rsidRPr="00B17032">
          <w:rPr>
            <w:rStyle w:val="Hyperlink"/>
          </w:rPr>
          <w:t>eclecticism</w:t>
        </w:r>
      </w:hyperlink>
      <w:r w:rsidRPr="00B17032">
        <w:t>, which is 'constrained by the conventional concept of method' (1994, p.31). According to Kumaravadivelu, regardless of how thoughtful the teacher is, such an approach at the classroom level often ends up as 'an unsystematic, unprincipled and uncritical pedagogy' (1994: 30), with the teacher merely putting together a random collection of techniques under the label of 'eclecticism'.</w:t>
      </w:r>
    </w:p>
    <w:p w14:paraId="781DB445" w14:textId="77777777" w:rsidR="00B17032" w:rsidRPr="00B17032" w:rsidRDefault="00B17032" w:rsidP="00B17032">
      <w:r w:rsidRPr="00B17032">
        <w:t>Regarding the list of macro strategies, Harmer (2015) compares the operational statements to a 'methodological wishlist', and again warns teachers against introducing them into the classroom unreflectively and without negotiation with their learners.</w:t>
      </w:r>
    </w:p>
    <w:p w14:paraId="2699C2B0" w14:textId="77777777" w:rsidR="00B17032" w:rsidRPr="00B17032" w:rsidRDefault="00B17032" w:rsidP="00B17032">
      <w:r w:rsidRPr="00B17032">
        <w:rPr>
          <w:b/>
          <w:bCs/>
        </w:rPr>
        <w:t>Exploratory practice</w:t>
      </w:r>
    </w:p>
    <w:p w14:paraId="73CEAAEF" w14:textId="77777777" w:rsidR="00B17032" w:rsidRPr="00B17032" w:rsidRDefault="00B17032" w:rsidP="00B17032">
      <w:r w:rsidRPr="00B17032">
        <w:t>The last proposition to mention is Dick Allwright's exploratory practice, which is grounded in the need to understand the quality of life in the learning-teaching environment and give it priority over instructional efficiency. Allwright's suggestion is a cyclical view of 'thinking globally, acting locally, thinking locally', which means starting with general guidelines and working out their implications for local practice and then reflecting on how the local experience informs the teacher's understanding of the general principles. If a learning puzzle (i.e., why certain things happen while others do not) can be identified in the classroom, this will form a basis for exploratory practice. Because of the focus on understanding, exploratory practice resembles reflective practice, but it takes things further. Understanding is promoted through action, which entails collaboration between teachers and learners.</w:t>
      </w:r>
    </w:p>
    <w:p w14:paraId="5A807A39" w14:textId="77777777" w:rsidR="00B17032" w:rsidRPr="00B17032" w:rsidRDefault="00B17032" w:rsidP="00B17032">
      <w:r w:rsidRPr="00B17032">
        <w:t>The seven principles of exploratory practice are as follows (Allwright, 2003):</w:t>
      </w:r>
    </w:p>
    <w:p w14:paraId="0DDDD006" w14:textId="77777777" w:rsidR="00B17032" w:rsidRPr="00B17032" w:rsidRDefault="00B17032" w:rsidP="00B17032">
      <w:pPr>
        <w:numPr>
          <w:ilvl w:val="0"/>
          <w:numId w:val="18"/>
        </w:numPr>
      </w:pPr>
      <w:r w:rsidRPr="00B17032">
        <w:t>Put quality of life first.</w:t>
      </w:r>
    </w:p>
    <w:p w14:paraId="11823E90" w14:textId="77777777" w:rsidR="00B17032" w:rsidRPr="00B17032" w:rsidRDefault="00B17032" w:rsidP="00B17032">
      <w:pPr>
        <w:numPr>
          <w:ilvl w:val="0"/>
          <w:numId w:val="18"/>
        </w:numPr>
      </w:pPr>
      <w:r w:rsidRPr="00B17032">
        <w:t>Work primarily to understand classroom life (and not necessarily to solve problems, as in action research).</w:t>
      </w:r>
    </w:p>
    <w:p w14:paraId="4CA6DF9F" w14:textId="77777777" w:rsidR="00B17032" w:rsidRPr="00B17032" w:rsidRDefault="00B17032" w:rsidP="00B17032">
      <w:pPr>
        <w:numPr>
          <w:ilvl w:val="0"/>
          <w:numId w:val="18"/>
        </w:numPr>
      </w:pPr>
      <w:r w:rsidRPr="00B17032">
        <w:t>Involve everybody (i.e., learners are co-researchers).</w:t>
      </w:r>
    </w:p>
    <w:p w14:paraId="38DDB147" w14:textId="77777777" w:rsidR="00B17032" w:rsidRPr="00B17032" w:rsidRDefault="00B17032" w:rsidP="00B17032">
      <w:pPr>
        <w:numPr>
          <w:ilvl w:val="0"/>
          <w:numId w:val="18"/>
        </w:numPr>
      </w:pPr>
      <w:r w:rsidRPr="00B17032">
        <w:t>Work to bring people together (atmosphere of collegiality).</w:t>
      </w:r>
    </w:p>
    <w:p w14:paraId="2BE6B474" w14:textId="77777777" w:rsidR="00B17032" w:rsidRPr="00B17032" w:rsidRDefault="00B17032" w:rsidP="00B17032">
      <w:pPr>
        <w:numPr>
          <w:ilvl w:val="0"/>
          <w:numId w:val="18"/>
        </w:numPr>
      </w:pPr>
      <w:r w:rsidRPr="00B17032">
        <w:t>Work for mutual development.</w:t>
      </w:r>
    </w:p>
    <w:p w14:paraId="4CA5A0CE" w14:textId="77777777" w:rsidR="00B17032" w:rsidRPr="00B17032" w:rsidRDefault="00B17032" w:rsidP="00B17032">
      <w:pPr>
        <w:numPr>
          <w:ilvl w:val="0"/>
          <w:numId w:val="18"/>
        </w:numPr>
      </w:pPr>
      <w:r w:rsidRPr="00B17032">
        <w:t>Integrate the work for understanding into classroom practice.</w:t>
      </w:r>
    </w:p>
    <w:p w14:paraId="0916D070" w14:textId="77777777" w:rsidR="00B17032" w:rsidRPr="00B17032" w:rsidRDefault="00B17032" w:rsidP="00B17032">
      <w:pPr>
        <w:numPr>
          <w:ilvl w:val="0"/>
          <w:numId w:val="18"/>
        </w:numPr>
      </w:pPr>
      <w:r w:rsidRPr="00B17032">
        <w:t>Make the work a continuous enterprise.</w:t>
      </w:r>
    </w:p>
    <w:p w14:paraId="4B4704BF" w14:textId="77777777" w:rsidR="00B17032" w:rsidRPr="00B17032" w:rsidRDefault="00B17032" w:rsidP="00B17032"/>
    <w:p w14:paraId="417BEEB6" w14:textId="77777777" w:rsidR="0048542F" w:rsidRPr="0048542F" w:rsidRDefault="0048542F" w:rsidP="0048542F"/>
    <w:p w14:paraId="5D928A33" w14:textId="32F0EC2D" w:rsidR="0031327A" w:rsidRDefault="0031327A" w:rsidP="0031327A"/>
    <w:sectPr w:rsidR="0031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14D"/>
    <w:multiLevelType w:val="multilevel"/>
    <w:tmpl w:val="94E0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167D"/>
    <w:multiLevelType w:val="multilevel"/>
    <w:tmpl w:val="FFB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8B6"/>
    <w:multiLevelType w:val="multilevel"/>
    <w:tmpl w:val="CA66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2F98"/>
    <w:multiLevelType w:val="multilevel"/>
    <w:tmpl w:val="0E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92E95"/>
    <w:multiLevelType w:val="multilevel"/>
    <w:tmpl w:val="9D3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7980"/>
    <w:multiLevelType w:val="multilevel"/>
    <w:tmpl w:val="D71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3080E"/>
    <w:multiLevelType w:val="multilevel"/>
    <w:tmpl w:val="737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B4A41"/>
    <w:multiLevelType w:val="multilevel"/>
    <w:tmpl w:val="E64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878CC"/>
    <w:multiLevelType w:val="multilevel"/>
    <w:tmpl w:val="D6F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A056D"/>
    <w:multiLevelType w:val="multilevel"/>
    <w:tmpl w:val="B8A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26538"/>
    <w:multiLevelType w:val="multilevel"/>
    <w:tmpl w:val="D47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93E61"/>
    <w:multiLevelType w:val="multilevel"/>
    <w:tmpl w:val="C60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21A5A"/>
    <w:multiLevelType w:val="multilevel"/>
    <w:tmpl w:val="33A6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84978"/>
    <w:multiLevelType w:val="multilevel"/>
    <w:tmpl w:val="6BE4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521E4"/>
    <w:multiLevelType w:val="multilevel"/>
    <w:tmpl w:val="D60E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B0DF8"/>
    <w:multiLevelType w:val="multilevel"/>
    <w:tmpl w:val="31F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4111B"/>
    <w:multiLevelType w:val="multilevel"/>
    <w:tmpl w:val="D95E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4577DD"/>
    <w:multiLevelType w:val="multilevel"/>
    <w:tmpl w:val="7880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8622">
    <w:abstractNumId w:val="11"/>
  </w:num>
  <w:num w:numId="2" w16cid:durableId="1509440408">
    <w:abstractNumId w:val="14"/>
  </w:num>
  <w:num w:numId="3" w16cid:durableId="470753000">
    <w:abstractNumId w:val="17"/>
  </w:num>
  <w:num w:numId="4" w16cid:durableId="684862305">
    <w:abstractNumId w:val="15"/>
  </w:num>
  <w:num w:numId="5" w16cid:durableId="459886659">
    <w:abstractNumId w:val="16"/>
  </w:num>
  <w:num w:numId="6" w16cid:durableId="584923701">
    <w:abstractNumId w:val="6"/>
  </w:num>
  <w:num w:numId="7" w16cid:durableId="1853371735">
    <w:abstractNumId w:val="12"/>
  </w:num>
  <w:num w:numId="8" w16cid:durableId="675690890">
    <w:abstractNumId w:val="7"/>
  </w:num>
  <w:num w:numId="9" w16cid:durableId="226769307">
    <w:abstractNumId w:val="2"/>
  </w:num>
  <w:num w:numId="10" w16cid:durableId="760294233">
    <w:abstractNumId w:val="5"/>
  </w:num>
  <w:num w:numId="11" w16cid:durableId="1183933707">
    <w:abstractNumId w:val="8"/>
  </w:num>
  <w:num w:numId="12" w16cid:durableId="1290283295">
    <w:abstractNumId w:val="3"/>
  </w:num>
  <w:num w:numId="13" w16cid:durableId="1820341013">
    <w:abstractNumId w:val="10"/>
  </w:num>
  <w:num w:numId="14" w16cid:durableId="407969122">
    <w:abstractNumId w:val="4"/>
  </w:num>
  <w:num w:numId="15" w16cid:durableId="526794770">
    <w:abstractNumId w:val="13"/>
  </w:num>
  <w:num w:numId="16" w16cid:durableId="524904184">
    <w:abstractNumId w:val="9"/>
  </w:num>
  <w:num w:numId="17" w16cid:durableId="570623766">
    <w:abstractNumId w:val="0"/>
  </w:num>
  <w:num w:numId="18" w16cid:durableId="197073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A"/>
    <w:rsid w:val="000E3FA0"/>
    <w:rsid w:val="001E4084"/>
    <w:rsid w:val="001E6D39"/>
    <w:rsid w:val="0031327A"/>
    <w:rsid w:val="0048542F"/>
    <w:rsid w:val="004E5A85"/>
    <w:rsid w:val="005B48C2"/>
    <w:rsid w:val="006D0506"/>
    <w:rsid w:val="007F0CC6"/>
    <w:rsid w:val="00B17032"/>
    <w:rsid w:val="00B4289C"/>
    <w:rsid w:val="00CE0007"/>
    <w:rsid w:val="00E65126"/>
    <w:rsid w:val="00F6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9FCD"/>
  <w15:chartTrackingRefBased/>
  <w15:docId w15:val="{57F1FF03-AD8D-784A-95FA-0E2BD0F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7A"/>
    <w:rPr>
      <w:rFonts w:eastAsiaTheme="majorEastAsia" w:cstheme="majorBidi"/>
      <w:color w:val="272727" w:themeColor="text1" w:themeTint="D8"/>
    </w:rPr>
  </w:style>
  <w:style w:type="paragraph" w:styleId="Title">
    <w:name w:val="Title"/>
    <w:basedOn w:val="Normal"/>
    <w:next w:val="Normal"/>
    <w:link w:val="TitleChar"/>
    <w:uiPriority w:val="10"/>
    <w:qFormat/>
    <w:rsid w:val="0031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7A"/>
    <w:pPr>
      <w:spacing w:before="160"/>
      <w:jc w:val="center"/>
    </w:pPr>
    <w:rPr>
      <w:i/>
      <w:iCs/>
      <w:color w:val="404040" w:themeColor="text1" w:themeTint="BF"/>
    </w:rPr>
  </w:style>
  <w:style w:type="character" w:customStyle="1" w:styleId="QuoteChar">
    <w:name w:val="Quote Char"/>
    <w:basedOn w:val="DefaultParagraphFont"/>
    <w:link w:val="Quote"/>
    <w:uiPriority w:val="29"/>
    <w:rsid w:val="0031327A"/>
    <w:rPr>
      <w:i/>
      <w:iCs/>
      <w:color w:val="404040" w:themeColor="text1" w:themeTint="BF"/>
    </w:rPr>
  </w:style>
  <w:style w:type="paragraph" w:styleId="ListParagraph">
    <w:name w:val="List Paragraph"/>
    <w:basedOn w:val="Normal"/>
    <w:uiPriority w:val="34"/>
    <w:qFormat/>
    <w:rsid w:val="0031327A"/>
    <w:pPr>
      <w:ind w:left="720"/>
      <w:contextualSpacing/>
    </w:pPr>
  </w:style>
  <w:style w:type="character" w:styleId="IntenseEmphasis">
    <w:name w:val="Intense Emphasis"/>
    <w:basedOn w:val="DefaultParagraphFont"/>
    <w:uiPriority w:val="21"/>
    <w:qFormat/>
    <w:rsid w:val="0031327A"/>
    <w:rPr>
      <w:i/>
      <w:iCs/>
      <w:color w:val="0F4761" w:themeColor="accent1" w:themeShade="BF"/>
    </w:rPr>
  </w:style>
  <w:style w:type="paragraph" w:styleId="IntenseQuote">
    <w:name w:val="Intense Quote"/>
    <w:basedOn w:val="Normal"/>
    <w:next w:val="Normal"/>
    <w:link w:val="IntenseQuoteChar"/>
    <w:uiPriority w:val="30"/>
    <w:qFormat/>
    <w:rsid w:val="0031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7A"/>
    <w:rPr>
      <w:i/>
      <w:iCs/>
      <w:color w:val="0F4761" w:themeColor="accent1" w:themeShade="BF"/>
    </w:rPr>
  </w:style>
  <w:style w:type="character" w:styleId="IntenseReference">
    <w:name w:val="Intense Reference"/>
    <w:basedOn w:val="DefaultParagraphFont"/>
    <w:uiPriority w:val="32"/>
    <w:qFormat/>
    <w:rsid w:val="0031327A"/>
    <w:rPr>
      <w:b/>
      <w:bCs/>
      <w:smallCaps/>
      <w:color w:val="0F4761" w:themeColor="accent1" w:themeShade="BF"/>
      <w:spacing w:val="5"/>
    </w:rPr>
  </w:style>
  <w:style w:type="character" w:styleId="Hyperlink">
    <w:name w:val="Hyperlink"/>
    <w:basedOn w:val="DefaultParagraphFont"/>
    <w:uiPriority w:val="99"/>
    <w:unhideWhenUsed/>
    <w:rsid w:val="007F0CC6"/>
    <w:rPr>
      <w:color w:val="467886" w:themeColor="hyperlink"/>
      <w:u w:val="single"/>
    </w:rPr>
  </w:style>
  <w:style w:type="character" w:styleId="UnresolvedMention">
    <w:name w:val="Unresolved Mention"/>
    <w:basedOn w:val="DefaultParagraphFont"/>
    <w:uiPriority w:val="99"/>
    <w:semiHidden/>
    <w:unhideWhenUsed/>
    <w:rsid w:val="007F0CC6"/>
    <w:rPr>
      <w:color w:val="605E5C"/>
      <w:shd w:val="clear" w:color="auto" w:fill="E1DFDD"/>
    </w:rPr>
  </w:style>
  <w:style w:type="paragraph" w:customStyle="1" w:styleId="msonormal0">
    <w:name w:val="msonormal"/>
    <w:basedOn w:val="Normal"/>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E3F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E3FA0"/>
  </w:style>
  <w:style w:type="character" w:styleId="FollowedHyperlink">
    <w:name w:val="FollowedHyperlink"/>
    <w:basedOn w:val="DefaultParagraphFont"/>
    <w:uiPriority w:val="99"/>
    <w:semiHidden/>
    <w:unhideWhenUsed/>
    <w:rsid w:val="000E3FA0"/>
    <w:rPr>
      <w:color w:val="800080"/>
      <w:u w:val="single"/>
    </w:rPr>
  </w:style>
  <w:style w:type="character" w:styleId="Strong">
    <w:name w:val="Strong"/>
    <w:basedOn w:val="DefaultParagraphFont"/>
    <w:uiPriority w:val="22"/>
    <w:qFormat/>
    <w:rsid w:val="000E3FA0"/>
    <w:rPr>
      <w:b/>
      <w:bCs/>
    </w:rPr>
  </w:style>
  <w:style w:type="character" w:styleId="Emphasis">
    <w:name w:val="Emphasis"/>
    <w:basedOn w:val="DefaultParagraphFont"/>
    <w:uiPriority w:val="20"/>
    <w:qFormat/>
    <w:rsid w:val="000E3F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ingenglish.org.uk/article/methods-post-method-and-metodos" TargetMode="External"/><Relationship Id="rId3" Type="http://schemas.openxmlformats.org/officeDocument/2006/relationships/settings" Target="settings.xml"/><Relationship Id="rId7" Type="http://schemas.openxmlformats.org/officeDocument/2006/relationships/hyperlink" Target="https://onlinelibrary.wiley.com/doi/abs/10.1002/tesj.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sol.org/position-statements/" TargetMode="External"/><Relationship Id="rId11" Type="http://schemas.openxmlformats.org/officeDocument/2006/relationships/theme" Target="theme/theme1.xml"/><Relationship Id="rId5" Type="http://schemas.openxmlformats.org/officeDocument/2006/relationships/hyperlink" Target="https://uodcr.derby.ac.uk/bbcswebdav/pid-8950828-dt-content-rid-28484231_1/xid-28484231_1?Kq3cZcYS15=2dd9f7cd8c774315abd74739402dafae&amp;VxJw3wfC56=1769519644&amp;3cCnGYSz89=hPYqQsLkM%2FMmuGF6b1KRinSz34g6jHg8sjq9VFoZ%2FYg%3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achingenglish.org.uk/article/eclectic-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Glass</dc:creator>
  <cp:keywords/>
  <dc:description/>
  <cp:lastModifiedBy>Jon Glass</cp:lastModifiedBy>
  <cp:revision>2</cp:revision>
  <dcterms:created xsi:type="dcterms:W3CDTF">2026-01-27T13:01:00Z</dcterms:created>
  <dcterms:modified xsi:type="dcterms:W3CDTF">2026-01-27T13:01:00Z</dcterms:modified>
</cp:coreProperties>
</file>